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399"/>
        <w:gridCol w:w="2519"/>
        <w:gridCol w:w="855"/>
        <w:gridCol w:w="1096"/>
        <w:gridCol w:w="3030"/>
      </w:tblGrid>
      <w:tr w:rsidR="006B387D" w:rsidTr="00E55586">
        <w:trPr>
          <w:trHeight w:val="768"/>
        </w:trPr>
        <w:tc>
          <w:tcPr>
            <w:tcW w:w="88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eastAsia="仿宋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  <w:p w:rsidR="006B387D" w:rsidRDefault="006B387D" w:rsidP="00E5558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2"/>
                <w:szCs w:val="32"/>
                <w:lang w:bidi="ar"/>
              </w:rPr>
              <w:t>威远县“</w:t>
            </w:r>
            <w:r>
              <w:rPr>
                <w:rFonts w:eastAsia="方正仿宋简体" w:cs="方正小标宋简体" w:hint="eastAsia"/>
                <w:b/>
                <w:color w:val="000000"/>
                <w:kern w:val="0"/>
                <w:sz w:val="32"/>
                <w:szCs w:val="32"/>
                <w:lang w:bidi="ar"/>
              </w:rPr>
              <w:t>1+1+N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”营商环境指标提升工作任务清单 </w:t>
            </w:r>
          </w:p>
        </w:tc>
      </w:tr>
      <w:tr w:rsidR="006B387D" w:rsidTr="00E55586">
        <w:trPr>
          <w:trHeight w:val="90"/>
        </w:trPr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  <w:lang w:bidi="ar"/>
              </w:rPr>
              <w:t>个一级指标、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  <w:lang w:bidi="ar"/>
              </w:rPr>
              <w:t>82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  <w:lang w:bidi="ar"/>
              </w:rPr>
              <w:t>个二级指标</w:t>
            </w:r>
          </w:p>
        </w:tc>
      </w:tr>
      <w:tr w:rsidR="006B387D" w:rsidTr="00E55586">
        <w:trPr>
          <w:trHeight w:val="9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24"/>
                <w:lang w:bidi="ar"/>
              </w:rPr>
              <w:t>牵头</w:t>
            </w:r>
          </w:p>
          <w:p w:rsidR="006B387D" w:rsidRDefault="006B387D" w:rsidP="00E55586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24"/>
                <w:lang w:bidi="ar"/>
              </w:rPr>
              <w:t>领导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24"/>
                <w:lang w:bidi="ar"/>
              </w:rPr>
              <w:t>牵头</w:t>
            </w:r>
          </w:p>
          <w:p w:rsidR="006B387D" w:rsidRDefault="006B387D" w:rsidP="00E55586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24"/>
                <w:lang w:bidi="ar"/>
              </w:rPr>
              <w:t>责任单位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开办企业（世行指标）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开办企业流程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蔡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硕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县市场监管局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县公安局、县人力资源社会保障局、县住房城乡建设局、县行政审批局、县税务局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开办企业耗时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开办企业费用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开办企业便利度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办理建筑许可（世行指标）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2.1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办理建筑许可流程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倪永秋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县住房城乡建设局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县发展改革局、县自然资源规划局、县行政审批局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2.2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办理建筑许可耗时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2.3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办理建筑许可费用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2.4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建筑质量控制指数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2.5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办理建筑许可便利度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获得电力（世行指标）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3.1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获得电力流程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县发展改革局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县经济和信息化局、县公安局、县财政局（县国资办）、县住房城乡建设局、县交通运输局、国网威远县供电公司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3.2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获得电力耗时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3.3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获得电力费用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594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3.4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供电可靠性和电费透明度指数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3.5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电力价格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3.6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获得电力便利度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获得用水用气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4.1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获得用水用气流程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倪永秋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县住房城乡建设局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县发展改革局、县财政局（县国资办）、县水利局、兴泸水务威远清溪水务有限公司、威远港华燃气有限公司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4.2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获得用水用气耗时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4.3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获得用水用气费用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90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4.4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用水用气价格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15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登记财产（世行指标）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5.1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登记财产流程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倪永秋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县自然资源规划局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县公安局、县民政局、县司法局、县住房城乡建设局、县税务局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5.2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登记财产耗时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263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5.3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登记财产费用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5.4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土地管理质量指数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5.5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登记财产便利度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纳税（世行指标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6. 1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纳税次数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县税务局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县财政局、县人力资源社会保障局、县住房城乡建设局、县统计局、县医保局、内江市住房公积金管理中心威远管理部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6.2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纳税时间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6.3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总税收和缴费率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6.4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报税后流程指数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办理破产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    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（世行指标）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7.1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收回债务所需的时间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程满华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县法院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县经济和信息化局、县公安局、县人力资源社会保障局、县自然资源规划局、县住房城乡建设局、县商务经济合作局、人行威远县支行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7.2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收回债务所需的成本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7.3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债权人回收率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594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7.4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破产法律框架质量指数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获得信贷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（世行指标）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8.1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合法权利度指数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人行威远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县支行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县自然资源规划局、县市场监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管局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8.2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信用信息深度指数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8.3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征信机构覆盖面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8.4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企业融资便利度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保护中小投资者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9.1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信息披露透明度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程满华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县法院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县司法局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9.2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董事责任程度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9.3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诉讼便利度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9.4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股东权力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9.5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所有权和管理控制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9.6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公司透明度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执行合同（世行指标）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10.1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解决商业纠纷的耗时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程满华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县法院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县司法局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10.2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解决商业纠纷的费用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10.3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司法程序质量指数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劳动力市场监管</w:t>
            </w:r>
          </w:p>
          <w:p w:rsidR="006B387D" w:rsidRDefault="006B387D" w:rsidP="00E55586">
            <w:pPr>
              <w:widowControl/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（世行指标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11.1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聘用情况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县人力资源社会保障局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县公安局、县市场监管局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11.2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工作时间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11.3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裁员规定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11.4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裁员成本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11.5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工作质量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9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政府采购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12.1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采购流程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县财政局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内江市公共资源交易中心威远县分中心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12.2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采购结果确定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12.3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合同管理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12.4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改革创新与服务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12.5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市场主体实际感受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招标投标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13.1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互联网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招标采购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内江市公共资源交易中心威远县分中心、县发展改革局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县自然资源规划局、县住房城乡建设局、县交通运输局、县水利局、县农业农村局、县乡村振兴局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13.2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投标和履约担保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13.3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外地企业中标率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740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13.4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建立公平有效的投诉机制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84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政务服务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14.1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网上政务服务能力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县行政审批局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县政府办公室（县大数据中心）</w:t>
            </w:r>
          </w:p>
        </w:tc>
      </w:tr>
      <w:tr w:rsidR="006B387D" w:rsidTr="00E55586">
        <w:trPr>
          <w:trHeight w:val="665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14.2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政务服务事项便利度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268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14.3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政务服务满意率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478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14.4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与省政务服务平台数据共享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84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知识产权创造、保护和运用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15.1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知识产权创造质量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蔡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硕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县市场监管局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法院、县检察院、县委宣传部、县委政法委、县发展改革局、县经济和信息化局、县教育体育局、县公安局、县司法局、县财政局、县人力资源社会保障局、县农业农村局、县商务经济合作局、县文化广电和旅游局、县乡村振兴局、人行威远县支行</w:t>
            </w:r>
          </w:p>
        </w:tc>
      </w:tr>
      <w:tr w:rsidR="006B387D" w:rsidTr="00E55586">
        <w:trPr>
          <w:trHeight w:val="683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15.2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知识产权保护社会满意度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683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15.3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非诉纠纷解决机构覆盖面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645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15.4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知识产权运用效益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594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lastRenderedPageBreak/>
              <w:t>市场监管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16.1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“双随机、一公开”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监管覆盖率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蔡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硕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县市场监管局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政府办公室、县法院、县委组织部、县委宣传部、县教育体育局、县公安局、县人力资源社会保障局、县住房城乡建设局、县交通运输局、县农业农村局、县文化广电和旅游局、县卫生健康局、县应急局、县统计局、县医保局、县税务局、威远生态环境局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16.2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监管执法信息公示率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16.3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政务诚信度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16.4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商务诚信度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938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16.5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与省互联网监管系统数据共享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包容普惠创新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17.1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创新创业活跃度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马小飞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县经济和信息化局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委组织部、县委宣传部、县发展改革局、县教育体育局、县公安局、县民政局、县司法局、县财政局、县人力资源社会保障局、县自然资源规划局、县住房城乡建设局、县交通运输局、县水利局、县农业农村局、县商务经济合作局、县市场监管局、县文化广电和旅游局、县卫生健康局、县退役军人局、县应急局、县医保局、威远生态环境局、威远县邮政分公司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17.2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人才流动便利度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17.3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市场开放度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594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17.4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基本公共服务群众满意度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594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17.5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蓝天碧水净土森林覆盖指数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9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jc w:val="left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widowControl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17.6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综合立体交通指数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54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跨境贸易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7D" w:rsidRDefault="006B387D" w:rsidP="00E55586">
            <w:pPr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不涉及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6B387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民营经济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19.1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民营经济活跃度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蔡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硕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center"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县市场监管局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jc w:val="left"/>
              <w:textAlignment w:val="center"/>
              <w:rPr>
                <w:rFonts w:eastAsia="仿宋" w:cs="方正仿宋简体" w:hint="eastAsia"/>
                <w:b/>
                <w:color w:val="000000"/>
                <w:szCs w:val="21"/>
              </w:rPr>
            </w:pPr>
            <w:r>
              <w:rPr>
                <w:rFonts w:eastAsia="仿宋" w:cs="方正仿宋简体" w:hint="eastAsia"/>
                <w:b/>
                <w:color w:val="000000"/>
                <w:kern w:val="0"/>
                <w:szCs w:val="21"/>
                <w:lang w:bidi="ar"/>
              </w:rPr>
              <w:t>县民营经济工作领导小组成员单位</w:t>
            </w: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cs="方正仿宋简体" w:hint="eastAsia"/>
                <w:b/>
                <w:color w:val="000000"/>
                <w:kern w:val="0"/>
                <w:szCs w:val="21"/>
                <w:lang w:bidi="ar"/>
              </w:rPr>
              <w:t>19.2</w:t>
            </w:r>
            <w:r>
              <w:rPr>
                <w:rFonts w:eastAsia="方正仿宋简体" w:cs="方正仿宋简体" w:hint="eastAsia"/>
                <w:b/>
                <w:color w:val="000000"/>
                <w:kern w:val="0"/>
                <w:szCs w:val="21"/>
                <w:lang w:bidi="ar"/>
              </w:rPr>
              <w:t>民营经济贡献度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left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02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cs="方正仿宋简体" w:hint="eastAsia"/>
                <w:b/>
                <w:color w:val="000000"/>
                <w:kern w:val="0"/>
                <w:szCs w:val="21"/>
                <w:lang w:bidi="ar"/>
              </w:rPr>
              <w:t>19.3</w:t>
            </w:r>
            <w:r>
              <w:rPr>
                <w:rFonts w:eastAsia="方正仿宋简体" w:cs="方正仿宋简体" w:hint="eastAsia"/>
                <w:b/>
                <w:color w:val="000000"/>
                <w:kern w:val="0"/>
                <w:szCs w:val="21"/>
                <w:lang w:bidi="ar"/>
              </w:rPr>
              <w:t>改革创新与服务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left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</w:p>
        </w:tc>
      </w:tr>
      <w:tr w:rsidR="006B387D" w:rsidTr="00E55586">
        <w:trPr>
          <w:trHeight w:val="311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方正仿宋简体"/>
                <w:b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widowControl/>
              <w:textAlignment w:val="center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  <w:r>
              <w:rPr>
                <w:rFonts w:eastAsia="方正仿宋简体" w:cs="方正仿宋简体" w:hint="eastAsia"/>
                <w:b/>
                <w:color w:val="000000"/>
                <w:kern w:val="0"/>
                <w:szCs w:val="21"/>
                <w:lang w:bidi="ar"/>
              </w:rPr>
              <w:t>19.4</w:t>
            </w:r>
            <w:r>
              <w:rPr>
                <w:rFonts w:eastAsia="方正仿宋简体" w:cs="方正仿宋简体" w:hint="eastAsia"/>
                <w:b/>
                <w:color w:val="000000"/>
                <w:kern w:val="0"/>
                <w:szCs w:val="21"/>
                <w:lang w:bidi="ar"/>
              </w:rPr>
              <w:t>市场主体实际感受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center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D" w:rsidRDefault="006B387D" w:rsidP="00E55586">
            <w:pPr>
              <w:jc w:val="left"/>
              <w:rPr>
                <w:rFonts w:eastAsia="方正仿宋简体" w:cs="方正仿宋简体" w:hint="eastAsia"/>
                <w:b/>
                <w:color w:val="000000"/>
                <w:szCs w:val="21"/>
              </w:rPr>
            </w:pPr>
          </w:p>
        </w:tc>
      </w:tr>
    </w:tbl>
    <w:p w:rsidR="007B530F" w:rsidRDefault="00267157">
      <w:bookmarkStart w:id="0" w:name="_GoBack"/>
      <w:bookmarkEnd w:id="0"/>
    </w:p>
    <w:sectPr w:rsidR="007B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57" w:rsidRDefault="00267157" w:rsidP="006B387D">
      <w:r>
        <w:separator/>
      </w:r>
    </w:p>
  </w:endnote>
  <w:endnote w:type="continuationSeparator" w:id="0">
    <w:p w:rsidR="00267157" w:rsidRDefault="00267157" w:rsidP="006B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57" w:rsidRDefault="00267157" w:rsidP="006B387D">
      <w:r>
        <w:separator/>
      </w:r>
    </w:p>
  </w:footnote>
  <w:footnote w:type="continuationSeparator" w:id="0">
    <w:p w:rsidR="00267157" w:rsidRDefault="00267157" w:rsidP="006B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71D47"/>
    <w:multiLevelType w:val="singleLevel"/>
    <w:tmpl w:val="90071D4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18"/>
    <w:rsid w:val="00267157"/>
    <w:rsid w:val="006B387D"/>
    <w:rsid w:val="00C97566"/>
    <w:rsid w:val="00EB3D0B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3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B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B38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B387D"/>
    <w:rPr>
      <w:sz w:val="18"/>
      <w:szCs w:val="18"/>
    </w:rPr>
  </w:style>
  <w:style w:type="paragraph" w:customStyle="1" w:styleId="Char1">
    <w:name w:val="Char"/>
    <w:basedOn w:val="a"/>
    <w:rsid w:val="006B387D"/>
    <w:pPr>
      <w:ind w:firstLineChars="200" w:firstLine="643"/>
    </w:pPr>
  </w:style>
  <w:style w:type="paragraph" w:styleId="a0">
    <w:name w:val="Salutation"/>
    <w:basedOn w:val="a"/>
    <w:next w:val="a"/>
    <w:link w:val="Char2"/>
    <w:uiPriority w:val="99"/>
    <w:semiHidden/>
    <w:unhideWhenUsed/>
    <w:rsid w:val="006B387D"/>
  </w:style>
  <w:style w:type="character" w:customStyle="1" w:styleId="Char2">
    <w:name w:val="称呼 Char"/>
    <w:basedOn w:val="a1"/>
    <w:link w:val="a0"/>
    <w:uiPriority w:val="99"/>
    <w:semiHidden/>
    <w:rsid w:val="006B387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3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B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B38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B387D"/>
    <w:rPr>
      <w:sz w:val="18"/>
      <w:szCs w:val="18"/>
    </w:rPr>
  </w:style>
  <w:style w:type="paragraph" w:customStyle="1" w:styleId="Char1">
    <w:name w:val="Char"/>
    <w:basedOn w:val="a"/>
    <w:rsid w:val="006B387D"/>
    <w:pPr>
      <w:ind w:firstLineChars="200" w:firstLine="643"/>
    </w:pPr>
  </w:style>
  <w:style w:type="paragraph" w:styleId="a0">
    <w:name w:val="Salutation"/>
    <w:basedOn w:val="a"/>
    <w:next w:val="a"/>
    <w:link w:val="Char2"/>
    <w:uiPriority w:val="99"/>
    <w:semiHidden/>
    <w:unhideWhenUsed/>
    <w:rsid w:val="006B387D"/>
  </w:style>
  <w:style w:type="character" w:customStyle="1" w:styleId="Char2">
    <w:name w:val="称呼 Char"/>
    <w:basedOn w:val="a1"/>
    <w:link w:val="a0"/>
    <w:uiPriority w:val="99"/>
    <w:semiHidden/>
    <w:rsid w:val="006B387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2022-10-20T07:23:00Z</dcterms:created>
  <dcterms:modified xsi:type="dcterms:W3CDTF">2022-10-20T07:24:00Z</dcterms:modified>
</cp:coreProperties>
</file>