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9E" w:rsidRDefault="00727F9E" w:rsidP="00727F9E">
      <w:pPr>
        <w:pStyle w:val="a0"/>
        <w:spacing w:line="580" w:lineRule="exact"/>
        <w:rPr>
          <w:rFonts w:ascii="仿宋_GB2312" w:hAnsi="仿宋_GB2312" w:cs="仿宋_GB2312"/>
          <w:b/>
          <w:bCs/>
          <w:sz w:val="30"/>
          <w:szCs w:val="30"/>
        </w:rPr>
      </w:pPr>
      <w:r>
        <w:rPr>
          <w:rFonts w:asciiTheme="minorEastAsia" w:hAnsiTheme="minorEastAsia" w:cstheme="minorEastAsia" w:hint="eastAsia"/>
          <w:b/>
          <w:bCs/>
        </w:rPr>
        <w:t xml:space="preserve">附件1       </w:t>
      </w:r>
      <w:r>
        <w:rPr>
          <w:rFonts w:ascii="仿宋_GB2312" w:eastAsia="仿宋_GB2312" w:hAnsi="仿宋_GB2312" w:cs="仿宋_GB2312" w:hint="eastAsia"/>
          <w:b/>
          <w:bCs/>
          <w:kern w:val="10"/>
          <w:sz w:val="30"/>
          <w:szCs w:val="30"/>
        </w:rPr>
        <w:t xml:space="preserve"> </w:t>
      </w:r>
    </w:p>
    <w:p w:rsidR="00727F9E" w:rsidRDefault="00727F9E" w:rsidP="00727F9E">
      <w:pPr>
        <w:pStyle w:val="a0"/>
        <w:spacing w:line="580" w:lineRule="exact"/>
        <w:ind w:firstLineChars="1200" w:firstLine="3614"/>
        <w:rPr>
          <w:rFonts w:ascii="仿宋_GB2312" w:hAnsi="仿宋_GB2312" w:cs="仿宋_GB2312" w:hint="eastAsia"/>
          <w:b/>
          <w:bCs/>
          <w:sz w:val="30"/>
          <w:szCs w:val="30"/>
        </w:rPr>
      </w:pPr>
      <w:r>
        <w:rPr>
          <w:rFonts w:ascii="仿宋_GB2312" w:eastAsia="仿宋_GB2312" w:hAnsi="仿宋_GB2312" w:cs="仿宋_GB2312" w:hint="eastAsia"/>
          <w:b/>
          <w:bCs/>
          <w:kern w:val="10"/>
          <w:sz w:val="30"/>
          <w:szCs w:val="30"/>
        </w:rPr>
        <w:t>8月19日至9月15日威远县工程审批指标推进任务表</w:t>
      </w:r>
    </w:p>
    <w:tbl>
      <w:tblPr>
        <w:tblpPr w:leftFromText="180" w:rightFromText="180" w:vertAnchor="text" w:horzAnchor="page" w:tblpX="1641" w:tblpY="483"/>
        <w:tblOverlap w:val="never"/>
        <w:tblW w:w="13917" w:type="dxa"/>
        <w:tblLook w:val="04A0" w:firstRow="1" w:lastRow="0" w:firstColumn="1" w:lastColumn="0" w:noHBand="0" w:noVBand="1"/>
      </w:tblPr>
      <w:tblGrid>
        <w:gridCol w:w="1813"/>
        <w:gridCol w:w="861"/>
        <w:gridCol w:w="1133"/>
        <w:gridCol w:w="1088"/>
        <w:gridCol w:w="1284"/>
        <w:gridCol w:w="861"/>
        <w:gridCol w:w="1057"/>
        <w:gridCol w:w="921"/>
        <w:gridCol w:w="906"/>
        <w:gridCol w:w="937"/>
        <w:gridCol w:w="1239"/>
        <w:gridCol w:w="937"/>
        <w:gridCol w:w="880"/>
      </w:tblGrid>
      <w:tr w:rsidR="00727F9E" w:rsidTr="00727F9E">
        <w:trPr>
          <w:trHeight w:val="321"/>
        </w:trPr>
        <w:tc>
          <w:tcPr>
            <w:tcW w:w="1813" w:type="dxa"/>
            <w:vMerge w:val="restart"/>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单位</w:t>
            </w:r>
          </w:p>
        </w:tc>
        <w:tc>
          <w:tcPr>
            <w:tcW w:w="861" w:type="dxa"/>
            <w:vMerge w:val="restart"/>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主线办件</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已</w:t>
            </w:r>
            <w:proofErr w:type="gramStart"/>
            <w:r>
              <w:rPr>
                <w:rFonts w:ascii="宋体" w:eastAsia="宋体" w:hAnsi="宋体" w:cs="宋体" w:hint="eastAsia"/>
                <w:b/>
                <w:bCs/>
                <w:color w:val="000000"/>
                <w:kern w:val="0"/>
                <w:sz w:val="18"/>
                <w:szCs w:val="18"/>
                <w:lang w:bidi="ar"/>
              </w:rPr>
              <w:t>办施工</w:t>
            </w:r>
            <w:proofErr w:type="gramEnd"/>
            <w:r>
              <w:rPr>
                <w:rFonts w:ascii="宋体" w:eastAsia="宋体" w:hAnsi="宋体" w:cs="宋体" w:hint="eastAsia"/>
                <w:b/>
                <w:bCs/>
                <w:color w:val="000000"/>
                <w:kern w:val="0"/>
                <w:sz w:val="18"/>
                <w:szCs w:val="18"/>
                <w:lang w:bidi="ar"/>
              </w:rPr>
              <w:t>许可主线办件数</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仿宋_GB2312" w:eastAsia="仿宋_GB2312" w:hAnsi="宋体" w:cs="仿宋_GB2312"/>
                <w:b/>
                <w:bCs/>
                <w:color w:val="000000"/>
                <w:sz w:val="18"/>
                <w:szCs w:val="18"/>
              </w:rPr>
            </w:pPr>
            <w:r>
              <w:rPr>
                <w:rFonts w:ascii="仿宋_GB2312" w:eastAsia="仿宋_GB2312" w:hAnsi="宋体" w:cs="仿宋_GB2312" w:hint="eastAsia"/>
                <w:b/>
                <w:bCs/>
                <w:color w:val="000000"/>
                <w:kern w:val="0"/>
                <w:sz w:val="18"/>
                <w:szCs w:val="18"/>
                <w:lang w:bidi="ar"/>
              </w:rPr>
              <w:t>中介超市模块</w:t>
            </w:r>
            <w:r>
              <w:rPr>
                <w:rFonts w:ascii="仿宋_GB2312" w:eastAsia="仿宋_GB2312" w:hAnsi="宋体" w:cs="仿宋_GB2312" w:hint="eastAsia"/>
                <w:b/>
                <w:bCs/>
                <w:color w:val="000000"/>
                <w:kern w:val="0"/>
                <w:sz w:val="18"/>
                <w:szCs w:val="18"/>
                <w:lang w:bidi="ar"/>
              </w:rPr>
              <w:br/>
              <w:t>（辅线模块）</w:t>
            </w:r>
          </w:p>
        </w:tc>
        <w:tc>
          <w:tcPr>
            <w:tcW w:w="1284" w:type="dxa"/>
            <w:vMerge w:val="restart"/>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水电气信</w:t>
            </w:r>
            <w:r>
              <w:rPr>
                <w:rFonts w:ascii="宋体" w:eastAsia="宋体" w:hAnsi="宋体" w:cs="宋体" w:hint="eastAsia"/>
                <w:b/>
                <w:bCs/>
                <w:color w:val="000000"/>
                <w:kern w:val="0"/>
                <w:sz w:val="18"/>
                <w:szCs w:val="18"/>
                <w:lang w:bidi="ar"/>
              </w:rPr>
              <w:br/>
              <w:t>报装模块</w:t>
            </w:r>
            <w:r>
              <w:rPr>
                <w:rFonts w:ascii="宋体" w:eastAsia="宋体" w:hAnsi="宋体" w:cs="宋体" w:hint="eastAsia"/>
                <w:b/>
                <w:bCs/>
                <w:color w:val="000000"/>
                <w:kern w:val="0"/>
                <w:sz w:val="18"/>
                <w:szCs w:val="18"/>
                <w:lang w:bidi="ar"/>
              </w:rPr>
              <w:br/>
              <w:t>（辅线模块）</w:t>
            </w:r>
          </w:p>
        </w:tc>
        <w:tc>
          <w:tcPr>
            <w:tcW w:w="7738" w:type="dxa"/>
            <w:gridSpan w:val="8"/>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其他8个辅线模块办件数</w:t>
            </w:r>
          </w:p>
        </w:tc>
      </w:tr>
      <w:tr w:rsidR="00727F9E" w:rsidTr="00727F9E">
        <w:trPr>
          <w:trHeight w:val="9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left"/>
              <w:rPr>
                <w:rFonts w:ascii="宋体" w:eastAsia="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left"/>
              <w:rPr>
                <w:rFonts w:ascii="宋体" w:eastAsia="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left"/>
              <w:rPr>
                <w:rFonts w:ascii="宋体" w:eastAsia="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left"/>
              <w:rPr>
                <w:rFonts w:ascii="仿宋_GB2312" w:eastAsia="仿宋_GB2312" w:hAnsi="宋体" w:cs="仿宋_GB2312"/>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left"/>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数字</w:t>
            </w:r>
          </w:p>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审图</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多测</w:t>
            </w:r>
          </w:p>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合一</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联合</w:t>
            </w:r>
          </w:p>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验收</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多</w:t>
            </w:r>
            <w:proofErr w:type="gramStart"/>
            <w:r>
              <w:rPr>
                <w:rFonts w:ascii="宋体" w:eastAsia="宋体" w:hAnsi="宋体" w:cs="宋体" w:hint="eastAsia"/>
                <w:b/>
                <w:bCs/>
                <w:color w:val="000000"/>
                <w:kern w:val="0"/>
                <w:sz w:val="18"/>
                <w:szCs w:val="18"/>
                <w:lang w:bidi="ar"/>
              </w:rPr>
              <w:t>规</w:t>
            </w:r>
            <w:proofErr w:type="gramEnd"/>
          </w:p>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合一</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方案</w:t>
            </w:r>
          </w:p>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联审</w:t>
            </w: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 xml:space="preserve">区域 </w:t>
            </w:r>
          </w:p>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评估</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 xml:space="preserve">多评  </w:t>
            </w:r>
          </w:p>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合一</w:t>
            </w:r>
          </w:p>
        </w:tc>
        <w:tc>
          <w:tcPr>
            <w:tcW w:w="880"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勘察</w:t>
            </w:r>
          </w:p>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设计</w:t>
            </w:r>
          </w:p>
        </w:tc>
      </w:tr>
      <w:tr w:rsidR="00727F9E" w:rsidTr="00727F9E">
        <w:trPr>
          <w:trHeight w:val="6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left"/>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完成目标数</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完成目标数</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完成目标数</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完成目标数</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完成目标数</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完成目标数</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完成目标数</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完成目标数</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完成目标数</w:t>
            </w: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完成目标数</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完成目标数</w:t>
            </w:r>
          </w:p>
        </w:tc>
        <w:tc>
          <w:tcPr>
            <w:tcW w:w="880"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完成目标数</w:t>
            </w: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县住房城乡建设局</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w:t>
            </w:r>
          </w:p>
        </w:tc>
        <w:tc>
          <w:tcPr>
            <w:tcW w:w="1284"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县自然资源规划局</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1284"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w:t>
            </w: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县生态环境局</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w:t>
            </w:r>
          </w:p>
        </w:tc>
        <w:tc>
          <w:tcPr>
            <w:tcW w:w="1284"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县人防办</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县交通局</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1284"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3</w:t>
            </w: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3</w:t>
            </w: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县综合行政执法局</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w:t>
            </w: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县气象局</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1284"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proofErr w:type="gramStart"/>
            <w:r>
              <w:rPr>
                <w:rFonts w:ascii="宋体" w:eastAsia="宋体" w:hAnsi="宋体" w:cs="宋体" w:hint="eastAsia"/>
                <w:b/>
                <w:bCs/>
                <w:color w:val="000000"/>
                <w:kern w:val="0"/>
                <w:sz w:val="18"/>
                <w:szCs w:val="18"/>
                <w:lang w:bidi="ar"/>
              </w:rPr>
              <w:t>县卫健局</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县经济和信息化局</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w:t>
            </w: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lastRenderedPageBreak/>
              <w:t>县行政</w:t>
            </w:r>
            <w:proofErr w:type="gramStart"/>
            <w:r>
              <w:rPr>
                <w:rFonts w:ascii="宋体" w:eastAsia="宋体" w:hAnsi="宋体" w:cs="宋体" w:hint="eastAsia"/>
                <w:b/>
                <w:bCs/>
                <w:color w:val="000000"/>
                <w:kern w:val="0"/>
                <w:sz w:val="18"/>
                <w:szCs w:val="18"/>
                <w:lang w:bidi="ar"/>
              </w:rPr>
              <w:t>审批局</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w:t>
            </w: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县发展</w:t>
            </w:r>
            <w:proofErr w:type="gramStart"/>
            <w:r>
              <w:rPr>
                <w:rFonts w:ascii="宋体" w:eastAsia="宋体" w:hAnsi="宋体" w:cs="宋体" w:hint="eastAsia"/>
                <w:b/>
                <w:bCs/>
                <w:color w:val="000000"/>
                <w:kern w:val="0"/>
                <w:sz w:val="18"/>
                <w:szCs w:val="18"/>
                <w:lang w:bidi="ar"/>
              </w:rPr>
              <w:t>改革局</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w:t>
            </w: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w:t>
            </w:r>
          </w:p>
        </w:tc>
        <w:tc>
          <w:tcPr>
            <w:tcW w:w="1284"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县应急管理局</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w:t>
            </w: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县水利局</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w:t>
            </w: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4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清溪水</w:t>
            </w:r>
            <w:proofErr w:type="gramStart"/>
            <w:r>
              <w:rPr>
                <w:rFonts w:ascii="宋体" w:eastAsia="宋体" w:hAnsi="宋体" w:cs="宋体" w:hint="eastAsia"/>
                <w:b/>
                <w:bCs/>
                <w:color w:val="000000"/>
                <w:kern w:val="0"/>
                <w:sz w:val="18"/>
                <w:szCs w:val="18"/>
                <w:lang w:bidi="ar"/>
              </w:rPr>
              <w:t>务</w:t>
            </w:r>
            <w:proofErr w:type="gramEnd"/>
            <w:r>
              <w:rPr>
                <w:rFonts w:ascii="宋体" w:eastAsia="宋体" w:hAnsi="宋体" w:cs="宋体" w:hint="eastAsia"/>
                <w:b/>
                <w:bCs/>
                <w:color w:val="000000"/>
                <w:kern w:val="0"/>
                <w:sz w:val="18"/>
                <w:szCs w:val="18"/>
                <w:lang w:bidi="ar"/>
              </w:rPr>
              <w:t>公司</w:t>
            </w: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379"/>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港华燃气公司</w:t>
            </w: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proofErr w:type="gramStart"/>
            <w:r>
              <w:rPr>
                <w:rFonts w:ascii="宋体" w:eastAsia="宋体" w:hAnsi="宋体" w:cs="宋体" w:hint="eastAsia"/>
                <w:b/>
                <w:bCs/>
                <w:color w:val="000000"/>
                <w:kern w:val="0"/>
                <w:sz w:val="18"/>
                <w:szCs w:val="18"/>
                <w:lang w:bidi="ar"/>
              </w:rPr>
              <w:t>国网电力公司</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35</w:t>
            </w: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联通</w:t>
            </w: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电信</w:t>
            </w: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0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移动</w:t>
            </w: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727F9E" w:rsidRDefault="00727F9E">
            <w:pPr>
              <w:jc w:val="center"/>
              <w:rPr>
                <w:rFonts w:ascii="宋体" w:eastAsia="宋体" w:hAnsi="宋体" w:cs="宋体"/>
                <w:b/>
                <w:bCs/>
                <w:color w:val="000000"/>
                <w:sz w:val="18"/>
                <w:szCs w:val="18"/>
              </w:rPr>
            </w:pPr>
          </w:p>
        </w:tc>
      </w:tr>
      <w:tr w:rsidR="00727F9E" w:rsidTr="00727F9E">
        <w:trPr>
          <w:trHeight w:val="518"/>
        </w:trPr>
        <w:tc>
          <w:tcPr>
            <w:tcW w:w="181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72</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34</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40</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5</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3</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2</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2</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2</w:t>
            </w: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7</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2</w:t>
            </w:r>
          </w:p>
        </w:tc>
        <w:tc>
          <w:tcPr>
            <w:tcW w:w="880" w:type="dxa"/>
            <w:tcBorders>
              <w:top w:val="single" w:sz="4" w:space="0" w:color="000000"/>
              <w:left w:val="single" w:sz="4" w:space="0" w:color="000000"/>
              <w:bottom w:val="single" w:sz="4" w:space="0" w:color="000000"/>
              <w:right w:val="single" w:sz="4" w:space="0" w:color="000000"/>
            </w:tcBorders>
            <w:vAlign w:val="center"/>
            <w:hideMark/>
          </w:tcPr>
          <w:p w:rsidR="00727F9E" w:rsidRDefault="00727F9E">
            <w:pPr>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5</w:t>
            </w:r>
          </w:p>
        </w:tc>
      </w:tr>
    </w:tbl>
    <w:p w:rsidR="00727F9E" w:rsidRDefault="00727F9E" w:rsidP="00727F9E">
      <w:pPr>
        <w:pStyle w:val="a4"/>
        <w:spacing w:after="0" w:line="240" w:lineRule="exact"/>
        <w:jc w:val="left"/>
        <w:rPr>
          <w:rFonts w:asciiTheme="minorEastAsia" w:hAnsiTheme="minorEastAsia" w:cstheme="minorEastAsia" w:hint="eastAsia"/>
          <w:b/>
          <w:bCs/>
          <w:sz w:val="18"/>
          <w:szCs w:val="18"/>
        </w:rPr>
      </w:pPr>
      <w:r>
        <w:rPr>
          <w:rFonts w:asciiTheme="minorEastAsia" w:hAnsiTheme="minorEastAsia" w:cstheme="minorEastAsia" w:hint="eastAsia"/>
          <w:b/>
          <w:bCs/>
          <w:sz w:val="18"/>
          <w:szCs w:val="18"/>
        </w:rPr>
        <w:t xml:space="preserve">说明： </w:t>
      </w:r>
    </w:p>
    <w:p w:rsidR="00727F9E" w:rsidRDefault="00727F9E" w:rsidP="00727F9E">
      <w:pPr>
        <w:pStyle w:val="a4"/>
        <w:spacing w:after="0" w:line="320" w:lineRule="exact"/>
        <w:ind w:firstLineChars="200" w:firstLine="361"/>
        <w:jc w:val="left"/>
        <w:rPr>
          <w:rFonts w:asciiTheme="minorEastAsia" w:hAnsiTheme="minorEastAsia" w:cstheme="minorEastAsia" w:hint="eastAsia"/>
          <w:b/>
          <w:bCs/>
          <w:sz w:val="18"/>
          <w:szCs w:val="18"/>
        </w:rPr>
      </w:pPr>
      <w:r>
        <w:rPr>
          <w:rFonts w:asciiTheme="minorEastAsia" w:hAnsiTheme="minorEastAsia" w:cstheme="minorEastAsia" w:hint="eastAsia"/>
          <w:b/>
          <w:bCs/>
          <w:sz w:val="18"/>
          <w:szCs w:val="18"/>
        </w:rPr>
        <w:t>1.按照市上的目标任务数，在借鉴自贡、泸州、雅安、市中区等地做法的基础上，结合2021年以来我县各部门的办件情况，综合分析计算出我县工程审批指标月度任务数。</w:t>
      </w:r>
    </w:p>
    <w:p w:rsidR="00727F9E" w:rsidRDefault="00727F9E" w:rsidP="00727F9E">
      <w:pPr>
        <w:pStyle w:val="a4"/>
        <w:spacing w:after="0" w:line="320" w:lineRule="exact"/>
        <w:ind w:firstLineChars="200" w:firstLine="361"/>
        <w:jc w:val="left"/>
        <w:rPr>
          <w:rFonts w:asciiTheme="minorEastAsia" w:hAnsiTheme="minorEastAsia" w:cstheme="minorEastAsia" w:hint="eastAsia"/>
          <w:b/>
          <w:bCs/>
          <w:sz w:val="18"/>
          <w:szCs w:val="18"/>
        </w:rPr>
      </w:pPr>
      <w:r>
        <w:rPr>
          <w:rFonts w:asciiTheme="minorEastAsia" w:hAnsiTheme="minorEastAsia" w:cstheme="minorEastAsia" w:hint="eastAsia"/>
          <w:b/>
          <w:bCs/>
          <w:sz w:val="18"/>
          <w:szCs w:val="18"/>
        </w:rPr>
        <w:t>2.威远县工程</w:t>
      </w:r>
      <w:proofErr w:type="gramStart"/>
      <w:r>
        <w:rPr>
          <w:rFonts w:asciiTheme="minorEastAsia" w:hAnsiTheme="minorEastAsia" w:cstheme="minorEastAsia" w:hint="eastAsia"/>
          <w:b/>
          <w:bCs/>
          <w:sz w:val="18"/>
          <w:szCs w:val="18"/>
        </w:rPr>
        <w:t>审批办</w:t>
      </w:r>
      <w:proofErr w:type="gramEnd"/>
      <w:r>
        <w:rPr>
          <w:rFonts w:asciiTheme="minorEastAsia" w:hAnsiTheme="minorEastAsia" w:cstheme="minorEastAsia" w:hint="eastAsia"/>
          <w:b/>
          <w:bCs/>
          <w:sz w:val="18"/>
          <w:szCs w:val="18"/>
        </w:rPr>
        <w:t>件月度推进情况纳入当月内江市“一网通办”工程审批指标考核。当月未通过系统真实办理工程建设项目审批事项扣4分；主线办件数、中介</w:t>
      </w:r>
      <w:proofErr w:type="gramStart"/>
      <w:r>
        <w:rPr>
          <w:rFonts w:asciiTheme="minorEastAsia" w:hAnsiTheme="minorEastAsia" w:cstheme="minorEastAsia" w:hint="eastAsia"/>
          <w:b/>
          <w:bCs/>
          <w:sz w:val="18"/>
          <w:szCs w:val="18"/>
        </w:rPr>
        <w:t>超市办</w:t>
      </w:r>
      <w:proofErr w:type="gramEnd"/>
      <w:r>
        <w:rPr>
          <w:rFonts w:asciiTheme="minorEastAsia" w:hAnsiTheme="minorEastAsia" w:cstheme="minorEastAsia" w:hint="eastAsia"/>
          <w:b/>
          <w:bCs/>
          <w:sz w:val="18"/>
          <w:szCs w:val="18"/>
        </w:rPr>
        <w:t>件数、水电气信报装办件数、其它辅助模块办件数，每少完成1个完成</w:t>
      </w:r>
      <w:proofErr w:type="gramStart"/>
      <w:r>
        <w:rPr>
          <w:rFonts w:asciiTheme="minorEastAsia" w:hAnsiTheme="minorEastAsia" w:cstheme="minorEastAsia" w:hint="eastAsia"/>
          <w:b/>
          <w:bCs/>
          <w:sz w:val="18"/>
          <w:szCs w:val="18"/>
        </w:rPr>
        <w:t>目标数扣</w:t>
      </w:r>
      <w:proofErr w:type="gramEnd"/>
      <w:r>
        <w:rPr>
          <w:rFonts w:asciiTheme="minorEastAsia" w:hAnsiTheme="minorEastAsia" w:cstheme="minorEastAsia" w:hint="eastAsia"/>
          <w:b/>
          <w:bCs/>
          <w:sz w:val="18"/>
          <w:szCs w:val="18"/>
        </w:rPr>
        <w:t>0.2分；主线办</w:t>
      </w:r>
      <w:proofErr w:type="gramStart"/>
      <w:r>
        <w:rPr>
          <w:rFonts w:asciiTheme="minorEastAsia" w:hAnsiTheme="minorEastAsia" w:cstheme="minorEastAsia" w:hint="eastAsia"/>
          <w:b/>
          <w:bCs/>
          <w:sz w:val="18"/>
          <w:szCs w:val="18"/>
        </w:rPr>
        <w:t>件出现</w:t>
      </w:r>
      <w:proofErr w:type="gramEnd"/>
      <w:r>
        <w:rPr>
          <w:rFonts w:asciiTheme="minorEastAsia" w:hAnsiTheme="minorEastAsia" w:cstheme="minorEastAsia" w:hint="eastAsia"/>
          <w:b/>
          <w:bCs/>
          <w:sz w:val="18"/>
          <w:szCs w:val="18"/>
        </w:rPr>
        <w:t>30分钟</w:t>
      </w:r>
      <w:proofErr w:type="gramStart"/>
      <w:r>
        <w:rPr>
          <w:rFonts w:asciiTheme="minorEastAsia" w:hAnsiTheme="minorEastAsia" w:cstheme="minorEastAsia" w:hint="eastAsia"/>
          <w:b/>
          <w:bCs/>
          <w:sz w:val="18"/>
          <w:szCs w:val="18"/>
        </w:rPr>
        <w:t>内秒办件</w:t>
      </w:r>
      <w:proofErr w:type="gramEnd"/>
      <w:r>
        <w:rPr>
          <w:rFonts w:asciiTheme="minorEastAsia" w:hAnsiTheme="minorEastAsia" w:cstheme="minorEastAsia" w:hint="eastAsia"/>
          <w:b/>
          <w:bCs/>
          <w:sz w:val="18"/>
          <w:szCs w:val="18"/>
        </w:rPr>
        <w:t>，每1件扣0.5分（应特别注意）；主线办件准确率，每出现一件不准确</w:t>
      </w:r>
      <w:proofErr w:type="gramStart"/>
      <w:r>
        <w:rPr>
          <w:rFonts w:asciiTheme="minorEastAsia" w:hAnsiTheme="minorEastAsia" w:cstheme="minorEastAsia" w:hint="eastAsia"/>
          <w:b/>
          <w:bCs/>
          <w:sz w:val="18"/>
          <w:szCs w:val="18"/>
        </w:rPr>
        <w:t>办件扣</w:t>
      </w:r>
      <w:proofErr w:type="gramEnd"/>
      <w:r>
        <w:rPr>
          <w:rFonts w:asciiTheme="minorEastAsia" w:hAnsiTheme="minorEastAsia" w:cstheme="minorEastAsia" w:hint="eastAsia"/>
          <w:b/>
          <w:bCs/>
          <w:sz w:val="18"/>
          <w:szCs w:val="18"/>
        </w:rPr>
        <w:t>0.5分；辅线办件覆盖率，每比完成目标数少10%扣0.2分。</w:t>
      </w:r>
    </w:p>
    <w:p w:rsidR="00727F9E" w:rsidRDefault="00727F9E" w:rsidP="00727F9E">
      <w:pPr>
        <w:pStyle w:val="a4"/>
        <w:spacing w:after="0" w:line="320" w:lineRule="exact"/>
        <w:ind w:firstLineChars="200" w:firstLine="361"/>
        <w:jc w:val="left"/>
        <w:rPr>
          <w:rFonts w:asciiTheme="minorEastAsia" w:hAnsiTheme="minorEastAsia" w:cstheme="minorEastAsia" w:hint="eastAsia"/>
          <w:b/>
          <w:bCs/>
          <w:sz w:val="18"/>
          <w:szCs w:val="18"/>
        </w:rPr>
      </w:pPr>
      <w:r>
        <w:rPr>
          <w:rFonts w:asciiTheme="minorEastAsia" w:hAnsiTheme="minorEastAsia" w:cstheme="minorEastAsia" w:hint="eastAsia"/>
          <w:b/>
          <w:bCs/>
          <w:sz w:val="18"/>
          <w:szCs w:val="18"/>
        </w:rPr>
        <w:t>3.涉及事项划的部门如交通、气象、水利等，在事项划转前未通过工改系统办件的由划转前的行政主管部门在一体化平台工改系统进行补录（承接事项的部门要予以配合）。</w:t>
      </w:r>
    </w:p>
    <w:p w:rsidR="00727F9E" w:rsidRDefault="00727F9E" w:rsidP="00727F9E">
      <w:pPr>
        <w:pStyle w:val="a4"/>
        <w:spacing w:after="0" w:line="320" w:lineRule="exact"/>
        <w:ind w:firstLineChars="200" w:firstLine="361"/>
        <w:jc w:val="left"/>
        <w:rPr>
          <w:rFonts w:asciiTheme="minorEastAsia" w:hAnsiTheme="minorEastAsia" w:cstheme="minorEastAsia" w:hint="eastAsia"/>
          <w:b/>
          <w:bCs/>
          <w:sz w:val="18"/>
          <w:szCs w:val="18"/>
        </w:rPr>
      </w:pPr>
      <w:r>
        <w:rPr>
          <w:rFonts w:asciiTheme="minorEastAsia" w:hAnsiTheme="minorEastAsia" w:cstheme="minorEastAsia" w:hint="eastAsia"/>
          <w:b/>
          <w:bCs/>
          <w:sz w:val="18"/>
          <w:szCs w:val="18"/>
        </w:rPr>
        <w:t>4.住建、经信、</w:t>
      </w:r>
      <w:proofErr w:type="gramStart"/>
      <w:r>
        <w:rPr>
          <w:rFonts w:asciiTheme="minorEastAsia" w:hAnsiTheme="minorEastAsia" w:cstheme="minorEastAsia" w:hint="eastAsia"/>
          <w:b/>
          <w:bCs/>
          <w:sz w:val="18"/>
          <w:szCs w:val="18"/>
        </w:rPr>
        <w:t>发改等</w:t>
      </w:r>
      <w:proofErr w:type="gramEnd"/>
      <w:r>
        <w:rPr>
          <w:rFonts w:asciiTheme="minorEastAsia" w:hAnsiTheme="minorEastAsia" w:cstheme="minorEastAsia" w:hint="eastAsia"/>
          <w:b/>
          <w:bCs/>
          <w:sz w:val="18"/>
          <w:szCs w:val="18"/>
        </w:rPr>
        <w:t>涉及水电气信报装企业的主管部门应做好同有关企业的沟通协调。</w:t>
      </w:r>
    </w:p>
    <w:p w:rsidR="00727F9E" w:rsidRDefault="00727F9E" w:rsidP="00727F9E">
      <w:pPr>
        <w:pStyle w:val="a4"/>
        <w:spacing w:after="0" w:line="320" w:lineRule="exact"/>
        <w:ind w:firstLineChars="200" w:firstLine="361"/>
        <w:jc w:val="left"/>
        <w:rPr>
          <w:rFonts w:asciiTheme="minorEastAsia" w:hAnsiTheme="minorEastAsia" w:cstheme="minorEastAsia"/>
          <w:b/>
          <w:bCs/>
          <w:sz w:val="18"/>
          <w:szCs w:val="18"/>
        </w:rPr>
        <w:sectPr w:rsidR="00727F9E">
          <w:pgSz w:w="16838" w:h="11906" w:orient="landscape"/>
          <w:pgMar w:top="1800" w:right="1440" w:bottom="1800" w:left="1440" w:header="851" w:footer="992" w:gutter="0"/>
          <w:cols w:space="720"/>
          <w:docGrid w:type="lines" w:linePitch="312"/>
        </w:sectPr>
      </w:pPr>
      <w:r>
        <w:rPr>
          <w:rFonts w:asciiTheme="minorEastAsia" w:hAnsiTheme="minorEastAsia" w:cstheme="minorEastAsia" w:hint="eastAsia"/>
          <w:b/>
          <w:bCs/>
          <w:sz w:val="18"/>
          <w:szCs w:val="18"/>
        </w:rPr>
        <w:t>5.主线事项涉及中介事项办理的，部门要联系业主做好和中介机构（第三方机构）的沟通配合，通过四川政务服务网及工改系统完成项目公告（必须完成公告）和中介事项办理</w:t>
      </w:r>
      <w:r>
        <w:rPr>
          <w:rFonts w:asciiTheme="minorEastAsia" w:hAnsiTheme="minorEastAsia" w:cstheme="minorEastAsia" w:hint="eastAsia"/>
          <w:b/>
          <w:bCs/>
          <w:sz w:val="18"/>
          <w:szCs w:val="18"/>
        </w:rPr>
        <w:t>。</w:t>
      </w:r>
    </w:p>
    <w:p w:rsidR="007B530F" w:rsidRDefault="00727F9E">
      <w:bookmarkStart w:id="0" w:name="_GoBack"/>
      <w:bookmarkEnd w:id="0"/>
    </w:p>
    <w:sectPr w:rsidR="007B5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1A"/>
    <w:rsid w:val="00727F9E"/>
    <w:rsid w:val="00B5021A"/>
    <w:rsid w:val="00C97566"/>
    <w:rsid w:val="00EB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27F9E"/>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semiHidden/>
    <w:unhideWhenUsed/>
    <w:qFormat/>
    <w:rsid w:val="00727F9E"/>
  </w:style>
  <w:style w:type="character" w:customStyle="1" w:styleId="Char">
    <w:name w:val="称呼 Char"/>
    <w:basedOn w:val="a1"/>
    <w:link w:val="a0"/>
    <w:uiPriority w:val="99"/>
    <w:semiHidden/>
    <w:rsid w:val="00727F9E"/>
    <w:rPr>
      <w:szCs w:val="24"/>
    </w:rPr>
  </w:style>
  <w:style w:type="paragraph" w:styleId="a4">
    <w:name w:val="Body Text"/>
    <w:basedOn w:val="a"/>
    <w:link w:val="Char0"/>
    <w:unhideWhenUsed/>
    <w:qFormat/>
    <w:rsid w:val="00727F9E"/>
    <w:pPr>
      <w:spacing w:after="140" w:line="276" w:lineRule="auto"/>
    </w:pPr>
  </w:style>
  <w:style w:type="character" w:customStyle="1" w:styleId="Char0">
    <w:name w:val="正文文本 Char"/>
    <w:basedOn w:val="a1"/>
    <w:link w:val="a4"/>
    <w:rsid w:val="00727F9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27F9E"/>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semiHidden/>
    <w:unhideWhenUsed/>
    <w:qFormat/>
    <w:rsid w:val="00727F9E"/>
  </w:style>
  <w:style w:type="character" w:customStyle="1" w:styleId="Char">
    <w:name w:val="称呼 Char"/>
    <w:basedOn w:val="a1"/>
    <w:link w:val="a0"/>
    <w:uiPriority w:val="99"/>
    <w:semiHidden/>
    <w:rsid w:val="00727F9E"/>
    <w:rPr>
      <w:szCs w:val="24"/>
    </w:rPr>
  </w:style>
  <w:style w:type="paragraph" w:styleId="a4">
    <w:name w:val="Body Text"/>
    <w:basedOn w:val="a"/>
    <w:link w:val="Char0"/>
    <w:unhideWhenUsed/>
    <w:qFormat/>
    <w:rsid w:val="00727F9E"/>
    <w:pPr>
      <w:spacing w:after="140" w:line="276" w:lineRule="auto"/>
    </w:pPr>
  </w:style>
  <w:style w:type="character" w:customStyle="1" w:styleId="Char0">
    <w:name w:val="正文文本 Char"/>
    <w:basedOn w:val="a1"/>
    <w:link w:val="a4"/>
    <w:rsid w:val="00727F9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1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2022-10-20T08:07:00Z</dcterms:created>
  <dcterms:modified xsi:type="dcterms:W3CDTF">2022-10-20T08:07:00Z</dcterms:modified>
</cp:coreProperties>
</file>